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259</w:t>
      </w:r>
      <w:r>
        <w:rPr>
          <w:rFonts w:ascii="Times New Roman" w:eastAsia="Times New Roman" w:hAnsi="Times New Roman" w:cs="Times New Roman"/>
          <w:sz w:val="22"/>
          <w:szCs w:val="22"/>
        </w:rPr>
        <w:t>-2003/202</w:t>
      </w:r>
      <w:r>
        <w:rPr>
          <w:rFonts w:ascii="Times New Roman" w:eastAsia="Times New Roman" w:hAnsi="Times New Roman" w:cs="Times New Roman"/>
          <w:sz w:val="22"/>
          <w:szCs w:val="22"/>
        </w:rPr>
        <w:t>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right="20"/>
        <w:jc w:val="both"/>
        <w:rPr>
          <w:sz w:val="10"/>
          <w:szCs w:val="10"/>
        </w:rPr>
      </w:pPr>
    </w:p>
    <w:p>
      <w:pPr>
        <w:spacing w:before="0" w:after="0"/>
        <w:jc w:val="both"/>
        <w:rPr>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марта 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jc w:val="both"/>
        <w:rPr>
          <w:sz w:val="10"/>
          <w:szCs w:val="10"/>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 рассмотрев в открытом судебном заседании дело об административном правонарушении в отношении:</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Татьяны Михайловны</w:t>
      </w:r>
      <w:r>
        <w:rPr>
          <w:rFonts w:ascii="Times New Roman" w:eastAsia="Times New Roman" w:hAnsi="Times New Roman" w:cs="Times New Roman"/>
          <w:sz w:val="28"/>
          <w:szCs w:val="28"/>
        </w:rPr>
        <w:t xml:space="preserve">, </w:t>
      </w:r>
      <w:r>
        <w:rPr>
          <w:rStyle w:val="cat-ExternalSystemDefinedgrp-41rplc-6"/>
          <w:rFonts w:ascii="Times New Roman" w:eastAsia="Times New Roman" w:hAnsi="Times New Roman" w:cs="Times New Roman"/>
          <w:sz w:val="28"/>
          <w:szCs w:val="28"/>
        </w:rPr>
        <w:t>...</w:t>
      </w:r>
      <w:r>
        <w:rPr>
          <w:rStyle w:val="cat-PassportDatagrp-32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являюще</w:t>
      </w:r>
      <w:r>
        <w:rPr>
          <w:rFonts w:ascii="Times New Roman" w:eastAsia="Times New Roman" w:hAnsi="Times New Roman" w:cs="Times New Roman"/>
          <w:sz w:val="28"/>
          <w:szCs w:val="28"/>
        </w:rPr>
        <w:t>йся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президент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МОО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городской молдавский культурный центр «Наш дом</w:t>
      </w:r>
      <w:r>
        <w:rPr>
          <w:rFonts w:ascii="Times New Roman" w:eastAsia="Times New Roman" w:hAnsi="Times New Roman" w:cs="Times New Roman"/>
          <w:sz w:val="28"/>
          <w:szCs w:val="28"/>
        </w:rPr>
        <w:t>», зарегистрированно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проживающе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Style w:val="cat-UserDefinedgrp-42rplc-8"/>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w:t>
      </w:r>
    </w:p>
    <w:p>
      <w:pPr>
        <w:spacing w:before="0" w:after="0"/>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 xml:space="preserve">., являясь </w:t>
      </w:r>
      <w:r>
        <w:rPr>
          <w:rFonts w:ascii="Times New Roman" w:eastAsia="Times New Roman" w:hAnsi="Times New Roman" w:cs="Times New Roman"/>
          <w:sz w:val="28"/>
          <w:szCs w:val="28"/>
        </w:rPr>
        <w:t>президентом МОО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городской молдавский культурный центр «Наш дом</w:t>
      </w:r>
      <w:r>
        <w:rPr>
          <w:rFonts w:ascii="Times New Roman" w:eastAsia="Times New Roman" w:hAnsi="Times New Roman" w:cs="Times New Roman"/>
          <w:sz w:val="28"/>
          <w:szCs w:val="28"/>
        </w:rPr>
        <w:t xml:space="preserve">», зарегистрированного по адресу: ХМАО-Югра, г. Нефтеюганск, </w:t>
      </w: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 22, кв. 17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представила в установленный законодательством РФ срок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1 квартал 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 Фактически отчет предоставлен </w:t>
      </w:r>
      <w:r>
        <w:rPr>
          <w:rFonts w:ascii="Times New Roman" w:eastAsia="Times New Roman" w:hAnsi="Times New Roman" w:cs="Times New Roman"/>
          <w:sz w:val="28"/>
          <w:szCs w:val="28"/>
        </w:rPr>
        <w:t>24.01.2026</w:t>
      </w:r>
      <w:r>
        <w:rPr>
          <w:rFonts w:ascii="Times New Roman" w:eastAsia="Times New Roman" w:hAnsi="Times New Roman" w:cs="Times New Roman"/>
          <w:sz w:val="28"/>
          <w:szCs w:val="28"/>
        </w:rPr>
        <w:t>, вместо 25.04.2025, чем нарушила ст. 17, ст. 19, ст. 24 Федерального закона от 24.07.1998 г. № 125-ФЗ «Об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извещенная надлежащим образом о времени и месте рассмотрения административного материала, не явилась, просила рассмотреть дело в ее отсутствие, с правонарушением согласна, что следует из </w:t>
      </w:r>
      <w:r>
        <w:rPr>
          <w:rFonts w:ascii="Times New Roman" w:eastAsia="Times New Roman" w:hAnsi="Times New Roman" w:cs="Times New Roman"/>
          <w:sz w:val="28"/>
          <w:szCs w:val="28"/>
        </w:rPr>
        <w:t>заявления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отсутствие.</w:t>
      </w: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исследовав материалы дела, считает, что вина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43rplc-2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03.03.2026</w:t>
      </w:r>
      <w:r>
        <w:rPr>
          <w:rFonts w:ascii="Times New Roman" w:eastAsia="Times New Roman" w:hAnsi="Times New Roman" w:cs="Times New Roman"/>
          <w:sz w:val="28"/>
          <w:szCs w:val="28"/>
        </w:rPr>
        <w:t xml:space="preserve">, согласно которому директор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представила в установленный законодательством РФ срок сведения для ведения индивидуального (персонифицированного) учета и сведения о начисленных </w:t>
      </w:r>
      <w:r>
        <w:rPr>
          <w:rFonts w:ascii="Times New Roman" w:eastAsia="Times New Roman" w:hAnsi="Times New Roman" w:cs="Times New Roman"/>
          <w:sz w:val="28"/>
          <w:szCs w:val="28"/>
        </w:rPr>
        <w:t>страховых взносах на обязательное социальное страхование от несчастных случаев на производстве и профессиональных заболеваний (ЕФС-1) за 1 квартал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информацией о предоставлении отчета; </w:t>
      </w:r>
    </w:p>
    <w:p>
      <w:pPr>
        <w:spacing w:before="0" w:after="0"/>
        <w:ind w:firstLine="567"/>
        <w:jc w:val="both"/>
        <w:rPr>
          <w:sz w:val="28"/>
          <w:szCs w:val="28"/>
        </w:rPr>
      </w:pPr>
      <w:r>
        <w:rPr>
          <w:rFonts w:ascii="Times New Roman" w:eastAsia="Times New Roman" w:hAnsi="Times New Roman" w:cs="Times New Roman"/>
          <w:sz w:val="28"/>
          <w:szCs w:val="28"/>
        </w:rPr>
        <w:t>- выпиской из Единого государственного реестра юридических лиц;</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извещением о вызове должностного лица, для составления протокола об административном правонарушении от </w:t>
      </w:r>
      <w:r>
        <w:rPr>
          <w:rFonts w:ascii="Times New Roman" w:eastAsia="Times New Roman" w:hAnsi="Times New Roman" w:cs="Times New Roman"/>
          <w:sz w:val="28"/>
          <w:szCs w:val="28"/>
        </w:rPr>
        <w:t>27.01.2026</w:t>
      </w:r>
      <w:r>
        <w:rPr>
          <w:rFonts w:ascii="Times New Roman" w:eastAsia="Times New Roman" w:hAnsi="Times New Roman" w:cs="Times New Roman"/>
          <w:sz w:val="28"/>
          <w:szCs w:val="28"/>
        </w:rPr>
        <w:t xml:space="preserve">; списком внутренних почтовых отправлений; отчетом об отслеживании отправления с почтовым идентификатором; </w:t>
      </w:r>
    </w:p>
    <w:p>
      <w:pPr>
        <w:spacing w:before="0" w:after="0"/>
        <w:ind w:firstLine="567"/>
        <w:jc w:val="both"/>
        <w:rPr>
          <w:sz w:val="28"/>
          <w:szCs w:val="28"/>
        </w:rPr>
      </w:pPr>
      <w:r>
        <w:rPr>
          <w:rFonts w:ascii="Times New Roman" w:eastAsia="Times New Roman" w:hAnsi="Times New Roman" w:cs="Times New Roman"/>
          <w:sz w:val="28"/>
          <w:szCs w:val="28"/>
        </w:rPr>
        <w:t>- списком внутренних почтовых отправлений о направлении копии протокола об административном правонарушении.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1 п. 2 ст. 17 </w:t>
      </w:r>
      <w:r>
        <w:rPr>
          <w:rFonts w:ascii="Times New Roman" w:eastAsia="Times New Roman" w:hAnsi="Times New Roman" w:cs="Times New Roman"/>
          <w:sz w:val="28"/>
          <w:szCs w:val="28"/>
        </w:rPr>
        <w:t>Федерального закона от 24.07.1998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125-ФЗ «Об обязательном социальном страховании от несчастных случаев на производстве и профессиональных заболеваний», страхователь обязан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w:t>
      </w:r>
      <w:r>
        <w:rPr>
          <w:rFonts w:ascii="Times New Roman" w:eastAsia="Times New Roman" w:hAnsi="Times New Roman" w:cs="Times New Roman"/>
          <w:sz w:val="28"/>
          <w:szCs w:val="28"/>
        </w:rPr>
        <w:t> </w:t>
      </w:r>
      <w:hyperlink r:id="rId4" w:anchor="/document/12112505/entry/63" w:history="1">
        <w:r>
          <w:rPr>
            <w:rFonts w:ascii="Times New Roman" w:eastAsia="Times New Roman" w:hAnsi="Times New Roman" w:cs="Times New Roman"/>
            <w:color w:val="0000EE"/>
            <w:sz w:val="28"/>
            <w:szCs w:val="28"/>
          </w:rPr>
          <w:t>абзацами третьим</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4" w:anchor="/document/12112505/entry/64" w:history="1">
        <w:r>
          <w:rPr>
            <w:rFonts w:ascii="Times New Roman" w:eastAsia="Times New Roman" w:hAnsi="Times New Roman" w:cs="Times New Roman"/>
            <w:color w:val="0000EE"/>
            <w:sz w:val="28"/>
            <w:szCs w:val="28"/>
          </w:rPr>
          <w:t>четвертым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document/12112505/entry/65" w:history="1">
        <w:r>
          <w:rPr>
            <w:rFonts w:ascii="Times New Roman" w:eastAsia="Times New Roman" w:hAnsi="Times New Roman" w:cs="Times New Roman"/>
            <w:color w:val="0000EE"/>
            <w:sz w:val="28"/>
            <w:szCs w:val="28"/>
          </w:rPr>
          <w:t>пятым части первой статьи 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w:t>
      </w:r>
      <w:r>
        <w:rPr>
          <w:rFonts w:ascii="Times New Roman" w:eastAsia="Times New Roman" w:hAnsi="Times New Roman" w:cs="Times New Roman"/>
          <w:sz w:val="28"/>
          <w:szCs w:val="28"/>
        </w:rPr>
        <w:t> </w:t>
      </w:r>
      <w:hyperlink r:id="rId4" w:anchor="/document/12177515/entry/7" w:history="1">
        <w:r>
          <w:rPr>
            <w:rFonts w:ascii="Times New Roman" w:eastAsia="Times New Roman" w:hAnsi="Times New Roman" w:cs="Times New Roman"/>
            <w:color w:val="0000EE"/>
            <w:sz w:val="28"/>
            <w:szCs w:val="28"/>
          </w:rPr>
          <w:t>Федеральным законом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от 27 июля 2010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210-ФЗ "Об организации предоставления государственных и муниципальных услуг" перечень документов.</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 ст. 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spacing w:before="0" w:after="0"/>
        <w:ind w:firstLine="567"/>
        <w:jc w:val="both"/>
        <w:rPr>
          <w:sz w:val="28"/>
          <w:szCs w:val="28"/>
        </w:rPr>
      </w:pPr>
      <w:r>
        <w:rPr>
          <w:rFonts w:ascii="Times New Roman" w:eastAsia="Times New Roman" w:hAnsi="Times New Roman" w:cs="Times New Roman"/>
          <w:sz w:val="28"/>
          <w:szCs w:val="28"/>
        </w:rPr>
        <w:t>Привлечение страхователя к ответственности осуществляется страховщиком в порядке, установленном настоящим Федеральным законом.</w:t>
      </w:r>
    </w:p>
    <w:p>
      <w:pPr>
        <w:spacing w:before="0" w:after="0"/>
        <w:ind w:firstLine="567"/>
        <w:jc w:val="both"/>
        <w:rPr>
          <w:sz w:val="28"/>
          <w:szCs w:val="28"/>
        </w:rPr>
      </w:pPr>
      <w:r>
        <w:rPr>
          <w:rFonts w:ascii="Times New Roman" w:eastAsia="Times New Roman" w:hAnsi="Times New Roman" w:cs="Times New Roman"/>
          <w:sz w:val="28"/>
          <w:szCs w:val="28"/>
        </w:rPr>
        <w:t>Привлечение к административной и уголовной ответственности за нарушения требований настоящего Федерального закона осуществляется в соответствии с</w:t>
      </w:r>
      <w:r>
        <w:rPr>
          <w:rFonts w:ascii="Times New Roman" w:eastAsia="Times New Roman" w:hAnsi="Times New Roman" w:cs="Times New Roman"/>
          <w:sz w:val="28"/>
          <w:szCs w:val="28"/>
        </w:rPr>
        <w:t> </w:t>
      </w:r>
      <w:hyperlink r:id="rId5" w:anchor="/document/12125267/entry/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административных правонарушениях и</w:t>
      </w:r>
      <w:r>
        <w:rPr>
          <w:rFonts w:ascii="Times New Roman" w:eastAsia="Times New Roman" w:hAnsi="Times New Roman" w:cs="Times New Roman"/>
          <w:sz w:val="28"/>
          <w:szCs w:val="28"/>
        </w:rPr>
        <w:t> </w:t>
      </w:r>
      <w:hyperlink r:id="rId5" w:anchor="/document/10108000/entry/0" w:history="1">
        <w:r>
          <w:rPr>
            <w:rFonts w:ascii="Times New Roman" w:eastAsia="Times New Roman" w:hAnsi="Times New Roman" w:cs="Times New Roman"/>
            <w:color w:val="0000EE"/>
            <w:sz w:val="28"/>
            <w:szCs w:val="28"/>
          </w:rPr>
          <w:t>Уголовным 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 1 ст. 24 Федеральн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24.07.1998 № 125-ФЗ «Об обязательном социальном страховании от несчастных случаев на </w:t>
      </w:r>
      <w:r>
        <w:rPr>
          <w:rFonts w:ascii="Times New Roman" w:eastAsia="Times New Roman" w:hAnsi="Times New Roman" w:cs="Times New Roman"/>
          <w:sz w:val="28"/>
          <w:szCs w:val="28"/>
        </w:rPr>
        <w:t>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w:t>
      </w:r>
      <w:r>
        <w:rPr>
          <w:rFonts w:ascii="Times New Roman" w:eastAsia="Times New Roman" w:hAnsi="Times New Roman" w:cs="Times New Roman"/>
          <w:sz w:val="28"/>
          <w:szCs w:val="28"/>
        </w:rPr>
        <w:t> </w:t>
      </w:r>
      <w:hyperlink r:id="rId5" w:anchor="/document/405976449/entry/1000" w:history="1">
        <w:r>
          <w:rPr>
            <w:rFonts w:ascii="Times New Roman" w:eastAsia="Times New Roman" w:hAnsi="Times New Roman" w:cs="Times New Roman"/>
            <w:color w:val="0000EE"/>
            <w:sz w:val="28"/>
            <w:szCs w:val="28"/>
          </w:rPr>
          <w:t>единой формы</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сведений, предусмотренной</w:t>
      </w:r>
      <w:r>
        <w:rPr>
          <w:rFonts w:ascii="Times New Roman" w:eastAsia="Times New Roman" w:hAnsi="Times New Roman" w:cs="Times New Roman"/>
          <w:sz w:val="28"/>
          <w:szCs w:val="28"/>
        </w:rPr>
        <w:t> </w:t>
      </w:r>
      <w:hyperlink r:id="rId5" w:anchor="/document/10106192/entry/8" w:history="1">
        <w:r>
          <w:rPr>
            <w:rFonts w:ascii="Times New Roman" w:eastAsia="Times New Roman" w:hAnsi="Times New Roman" w:cs="Times New Roman"/>
            <w:color w:val="0000EE"/>
            <w:sz w:val="28"/>
            <w:szCs w:val="28"/>
          </w:rPr>
          <w:t>статьей 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Федерального закона от 1 апреля 1996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27-ФЗ "Об индивидуальном (персонифицированном) учете в системах обязательного пенсионного страхования и обязательного социального страхования"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квалифицирует по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w:t>
      </w:r>
      <w:r>
        <w:rPr>
          <w:rFonts w:ascii="Times New Roman" w:eastAsia="Times New Roman" w:hAnsi="Times New Roman" w:cs="Times New Roman"/>
          <w:sz w:val="28"/>
          <w:szCs w:val="28"/>
        </w:rPr>
        <w:t>нарушение установленных</w:t>
      </w:r>
      <w:r>
        <w:rPr>
          <w:rFonts w:ascii="Times New Roman" w:eastAsia="Times New Roman" w:hAnsi="Times New Roman" w:cs="Times New Roman"/>
          <w:sz w:val="28"/>
          <w:szCs w:val="28"/>
        </w:rPr>
        <w:t> </w:t>
      </w:r>
      <w:hyperlink r:id="rId4" w:anchor="/document/12112505/entry/24" w:history="1">
        <w:r>
          <w:rPr>
            <w:rFonts w:ascii="Times New Roman" w:eastAsia="Times New Roman" w:hAnsi="Times New Roman" w:cs="Times New Roman"/>
            <w:color w:val="0000EE"/>
            <w:sz w:val="28"/>
            <w:szCs w:val="28"/>
          </w:rPr>
          <w:t>законодательством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судья учитывает характер совершенного правонарушения, личность лица, привлекаемого к административной ответственности.</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мировой судья признает признание вины.</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отягчающих административную ответственность, предусмотренных ст. 4.3 Кодекса Российской Федерации об административных правонарушениях,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не усматривает</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С учётом изложенного, руководствуясь ст.ст. 29.9 ч.1, 29.10, 30.1 Кодекса Российской Федерации об административных правонарушениях, судья</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президент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МОО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городской молдавский культурный центр «Наш дом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Татьян</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Михайловн</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w:t>
      </w:r>
      <w:r>
        <w:rPr>
          <w:rFonts w:ascii="Times New Roman" w:eastAsia="Times New Roman" w:hAnsi="Times New Roman" w:cs="Times New Roman"/>
          <w:sz w:val="28"/>
          <w:szCs w:val="28"/>
        </w:rPr>
        <w:t xml:space="preserve"> виновной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300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триста</w:t>
      </w:r>
      <w:r>
        <w:rPr>
          <w:rFonts w:ascii="Times New Roman" w:eastAsia="Times New Roman" w:hAnsi="Times New Roman" w:cs="Times New Roman"/>
          <w:sz w:val="28"/>
          <w:szCs w:val="28"/>
        </w:rPr>
        <w:t xml:space="preserve">) рублей. </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w:t>
      </w:r>
      <w:r>
        <w:rPr>
          <w:rFonts w:ascii="Times New Roman" w:eastAsia="Times New Roman" w:hAnsi="Times New Roman" w:cs="Times New Roman"/>
        </w:rPr>
        <w:t xml:space="preserve"> </w:t>
      </w:r>
      <w:r>
        <w:rPr>
          <w:rFonts w:ascii="Times New Roman" w:eastAsia="Times New Roman" w:hAnsi="Times New Roman" w:cs="Times New Roman"/>
          <w:sz w:val="28"/>
          <w:szCs w:val="28"/>
        </w:rPr>
        <w:t>на р</w:t>
      </w:r>
      <w:r>
        <w:rPr>
          <w:rFonts w:ascii="Times New Roman" w:eastAsia="Times New Roman" w:hAnsi="Times New Roman" w:cs="Times New Roman"/>
          <w:sz w:val="28"/>
          <w:szCs w:val="28"/>
        </w:rPr>
        <w:t>еквизиты: ИНН 8601002078, КПП 86010100</w:t>
      </w:r>
      <w:r>
        <w:rPr>
          <w:rFonts w:ascii="Times New Roman" w:eastAsia="Times New Roman" w:hAnsi="Times New Roman" w:cs="Times New Roman"/>
          <w:sz w:val="28"/>
          <w:szCs w:val="28"/>
        </w:rPr>
        <w:t>1, УФК по Ханты-Мансийскому АО-</w:t>
      </w:r>
      <w:r>
        <w:rPr>
          <w:rFonts w:ascii="Times New Roman" w:eastAsia="Times New Roman" w:hAnsi="Times New Roman" w:cs="Times New Roman"/>
          <w:sz w:val="28"/>
          <w:szCs w:val="28"/>
        </w:rPr>
        <w:t>Югре (ОСФР по ХМАО-Югре, л/с 04874Ф87010), ОКТМО 71871000, ЕКС 40102810245370000007, Казначейский счет 03100643000000018700 в Операционно-кассовый центр № 8 Уральского главного управления Центрального банка Российской Федерации // ОКЦ № 8 Уральского ГУ Банка России, БИК 007162163, КБК 79711601230060003140, КБК 79711601230060003140 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назначении платежа указать - Денежные взыскания на обязательное социальное страхование от НС и ПЗ, предусмотренные за нарушение статьи 15.33 КоАП, ФИО. УИН </w:t>
      </w:r>
      <w:r>
        <w:rPr>
          <w:rFonts w:ascii="Times New Roman" w:eastAsia="Times New Roman" w:hAnsi="Times New Roman" w:cs="Times New Roman"/>
          <w:sz w:val="28"/>
          <w:szCs w:val="28"/>
        </w:rPr>
        <w:t>7978600</w:t>
      </w:r>
      <w:r>
        <w:rPr>
          <w:rFonts w:ascii="Times New Roman" w:eastAsia="Times New Roman" w:hAnsi="Times New Roman" w:cs="Times New Roman"/>
          <w:sz w:val="28"/>
          <w:szCs w:val="28"/>
        </w:rPr>
        <w:t>0303260087187</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w:t>
      </w:r>
      <w:r>
        <w:rPr>
          <w:rFonts w:ascii="Times New Roman" w:eastAsia="Times New Roman" w:hAnsi="Times New Roman" w:cs="Times New Roman"/>
          <w:sz w:val="28"/>
          <w:szCs w:val="28"/>
        </w:rPr>
        <w:t>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p>
    <w:p>
      <w:pPr>
        <w:spacing w:before="0" w:after="0"/>
        <w:ind w:firstLine="567"/>
        <w:jc w:val="both"/>
        <w:rPr>
          <w:sz w:val="28"/>
          <w:szCs w:val="28"/>
        </w:rPr>
      </w:pPr>
    </w:p>
    <w:p>
      <w:pPr>
        <w:spacing w:before="0" w:after="0"/>
        <w:jc w:val="both"/>
        <w:rPr>
          <w:sz w:val="28"/>
          <w:szCs w:val="28"/>
        </w:rPr>
      </w:pPr>
    </w:p>
    <w:p>
      <w:pPr>
        <w:tabs>
          <w:tab w:val="left" w:pos="6570"/>
        </w:tabs>
        <w:spacing w:before="0" w:after="0"/>
        <w:ind w:left="1560"/>
        <w:rPr>
          <w:sz w:val="28"/>
          <w:szCs w:val="28"/>
        </w:rPr>
      </w:pPr>
      <w:r>
        <w:rPr>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0"/>
          <w:szCs w:val="20"/>
        </w:rPr>
      </w:pPr>
    </w:p>
    <w:tbl>
      <w:tblPr>
        <w:tblW w:w="10924" w:type="dxa"/>
        <w:tblInd w:w="113" w:type="dxa"/>
        <w:tblCellMar>
          <w:top w:w="0" w:type="dxa"/>
          <w:left w:w="0" w:type="dxa"/>
          <w:bottom w:w="0" w:type="dxa"/>
          <w:right w:w="0" w:type="dxa"/>
        </w:tblCellMar>
      </w:tblPr>
      <w:tblGrid>
        <w:gridCol w:w="5255"/>
        <w:gridCol w:w="5669"/>
      </w:tblGrid>
      <w:tr>
        <w:tblPrEx>
          <w:tblW w:w="10924" w:type="dxa"/>
          <w:tblInd w:w="113" w:type="dxa"/>
          <w:tblCellMar>
            <w:top w:w="0" w:type="dxa"/>
            <w:left w:w="0" w:type="dxa"/>
            <w:bottom w:w="0" w:type="dxa"/>
            <w:right w:w="0" w:type="dxa"/>
          </w:tblCellMar>
        </w:tblPrEx>
        <w:trPr>
          <w:trHeight w:val="6101"/>
        </w:trPr>
        <w:tc>
          <w:tcPr>
            <w:tcW w:w="5245" w:type="dxa"/>
            <w:noWrap w:val="0"/>
            <w:tcMar>
              <w:top w:w="5" w:type="dxa"/>
              <w:left w:w="113" w:type="dxa"/>
              <w:bottom w:w="5" w:type="dxa"/>
              <w:right w:w="113" w:type="dxa"/>
            </w:tcMar>
            <w:vAlign w:val="top"/>
            <w:hideMark/>
          </w:tcPr>
          <w:p>
            <w:pPr>
              <w:spacing w:before="0" w:after="0"/>
              <w:ind w:left="567"/>
              <w:jc w:val="center"/>
              <w:rPr>
                <w:b w:val="0"/>
                <w:bCs w:val="0"/>
                <w:i w:val="0"/>
                <w:iCs w:val="0"/>
                <w:smallCaps w:val="0"/>
                <w:color w:val="000000"/>
              </w:rPr>
            </w:pPr>
            <w:hyperlink r:id="rId6" w:history="1"/>
          </w:p>
        </w:tc>
        <w:tc>
          <w:tcPr>
            <w:tcW w:w="5679" w:type="dxa"/>
            <w:noWrap w:val="0"/>
            <w:tcMar>
              <w:top w:w="5" w:type="dxa"/>
              <w:left w:w="113" w:type="dxa"/>
              <w:bottom w:w="5" w:type="dxa"/>
              <w:right w:w="113" w:type="dxa"/>
            </w:tcMar>
            <w:vAlign w:val="top"/>
            <w:hideMark/>
          </w:tcPr>
          <w:p>
            <w:pPr>
              <w:spacing w:before="0" w:after="0"/>
              <w:ind w:left="567"/>
              <w:rPr>
                <w:b w:val="0"/>
                <w:bCs w:val="0"/>
                <w:i w:val="0"/>
                <w:iCs w:val="0"/>
                <w:smallCaps w:val="0"/>
                <w:color w:val="000000"/>
                <w:sz w:val="26"/>
                <w:szCs w:val="26"/>
              </w:rPr>
            </w:pPr>
          </w:p>
        </w:tc>
      </w:tr>
    </w:tbl>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1rplc-6">
    <w:name w:val="cat-ExternalSystemDefined grp-41 rplc-6"/>
    <w:basedOn w:val="DefaultParagraphFont"/>
  </w:style>
  <w:style w:type="character" w:customStyle="1" w:styleId="cat-PassportDatagrp-32rplc-7">
    <w:name w:val="cat-PassportData grp-32 rplc-7"/>
    <w:basedOn w:val="DefaultParagraphFont"/>
  </w:style>
  <w:style w:type="character" w:customStyle="1" w:styleId="cat-UserDefinedgrp-42rplc-8">
    <w:name w:val="cat-UserDefined grp-42 rplc-8"/>
    <w:basedOn w:val="DefaultParagraphFont"/>
  </w:style>
  <w:style w:type="character" w:customStyle="1" w:styleId="cat-UserDefinedgrp-43rplc-23">
    <w:name w:val="cat-UserDefined grp-43 rplc-23"/>
    <w:basedOn w:val="DefaultParagraphFont"/>
  </w:style>
  <w:style w:type="character" w:customStyle="1" w:styleId="cat-UserDefinedgrp-44rplc-41">
    <w:name w:val="cat-UserDefined grp-44 rplc-41"/>
    <w:basedOn w:val="DefaultParagraphFont"/>
  </w:style>
  <w:style w:type="character" w:customStyle="1" w:styleId="cat-UserDefinedgrp-45rplc-44">
    <w:name w:val="cat-UserDefined grp-45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mobileonline.garant.ru/" TargetMode="External" /><Relationship Id="rId6" Type="http://schemas.openxmlformats.org/officeDocument/2006/relationships/hyperlink" Target="http://www.mirsud86.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